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1F" w:rsidRDefault="00A051EF" w:rsidP="009848F8">
      <w:pPr>
        <w:jc w:val="center"/>
        <w:rPr>
          <w:rStyle w:val="Emphasis"/>
          <w:rFonts w:ascii="Calibri" w:hAnsi="Calibri"/>
          <w:b/>
          <w:i w:val="0"/>
          <w:color w:val="000000"/>
        </w:rPr>
      </w:pPr>
      <w:r>
        <w:rPr>
          <w:rStyle w:val="Emphasis"/>
          <w:rFonts w:ascii="Calibri" w:hAnsi="Calibri"/>
          <w:b/>
          <w:color w:val="000000"/>
        </w:rPr>
        <w:t>How to Teach Risk Assessment and the Appropriate Audit Response</w:t>
      </w:r>
    </w:p>
    <w:p w:rsidR="009848F8" w:rsidRPr="009848F8" w:rsidRDefault="009848F8" w:rsidP="009848F8">
      <w:pPr>
        <w:spacing w:after="0" w:line="240" w:lineRule="auto"/>
        <w:jc w:val="center"/>
        <w:rPr>
          <w:b/>
        </w:rPr>
      </w:pPr>
      <w:r>
        <w:rPr>
          <w:rStyle w:val="Emphasis"/>
          <w:rFonts w:ascii="Calibri" w:hAnsi="Calibri"/>
          <w:b/>
          <w:i w:val="0"/>
          <w:color w:val="000000"/>
        </w:rPr>
        <w:t>AAA Auditing Section Mid-Year Meeting</w:t>
      </w:r>
    </w:p>
    <w:p w:rsidR="009848F8" w:rsidRDefault="009848F8" w:rsidP="009848F8">
      <w:pPr>
        <w:spacing w:after="0" w:line="240" w:lineRule="auto"/>
        <w:jc w:val="center"/>
        <w:rPr>
          <w:rStyle w:val="Emphasis"/>
          <w:rFonts w:ascii="Calibri" w:hAnsi="Calibri"/>
          <w:b/>
          <w:i w:val="0"/>
          <w:color w:val="000000"/>
        </w:rPr>
      </w:pPr>
      <w:r>
        <w:rPr>
          <w:rStyle w:val="Emphasis"/>
          <w:rFonts w:ascii="Calibri" w:hAnsi="Calibri"/>
          <w:b/>
          <w:i w:val="0"/>
          <w:color w:val="000000"/>
        </w:rPr>
        <w:t>Excellence in Education Workshop</w:t>
      </w:r>
    </w:p>
    <w:p w:rsidR="0068504D" w:rsidRDefault="00A051EF" w:rsidP="009848F8">
      <w:pPr>
        <w:spacing w:after="0" w:line="240" w:lineRule="auto"/>
        <w:jc w:val="center"/>
        <w:rPr>
          <w:rStyle w:val="Emphasis"/>
          <w:rFonts w:ascii="Calibri" w:hAnsi="Calibri"/>
          <w:b/>
          <w:i w:val="0"/>
          <w:color w:val="000000"/>
        </w:rPr>
      </w:pPr>
      <w:r>
        <w:rPr>
          <w:rStyle w:val="Emphasis"/>
          <w:rFonts w:ascii="Calibri" w:hAnsi="Calibri"/>
          <w:b/>
          <w:i w:val="0"/>
          <w:color w:val="000000"/>
        </w:rPr>
        <w:t>Thursday, January 11, 2018</w:t>
      </w:r>
    </w:p>
    <w:p w:rsidR="0068504D" w:rsidRDefault="00A051EF" w:rsidP="009848F8">
      <w:pPr>
        <w:spacing w:after="0" w:line="240" w:lineRule="auto"/>
        <w:jc w:val="center"/>
        <w:rPr>
          <w:rStyle w:val="Emphasis"/>
          <w:rFonts w:ascii="Calibri" w:hAnsi="Calibri"/>
          <w:b/>
          <w:i w:val="0"/>
          <w:color w:val="000000"/>
        </w:rPr>
      </w:pPr>
      <w:r>
        <w:rPr>
          <w:rStyle w:val="Emphasis"/>
          <w:rFonts w:ascii="Calibri" w:hAnsi="Calibri"/>
          <w:b/>
          <w:i w:val="0"/>
          <w:color w:val="000000"/>
        </w:rPr>
        <w:t>Hilton Portland &amp; Executive Tower</w:t>
      </w:r>
    </w:p>
    <w:p w:rsidR="00D45EE2" w:rsidRDefault="00D45EE2" w:rsidP="009848F8">
      <w:pPr>
        <w:spacing w:after="0" w:line="240" w:lineRule="auto"/>
        <w:jc w:val="center"/>
        <w:rPr>
          <w:rStyle w:val="Emphasis"/>
          <w:rFonts w:ascii="Calibri" w:hAnsi="Calibri"/>
          <w:b/>
          <w:i w:val="0"/>
          <w:color w:val="000000"/>
        </w:rPr>
      </w:pPr>
    </w:p>
    <w:p w:rsidR="0094213F" w:rsidRPr="0095070E" w:rsidRDefault="00197798" w:rsidP="00197798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AGENDA</w:t>
      </w:r>
    </w:p>
    <w:p w:rsidR="00D45EE2" w:rsidRPr="0095070E" w:rsidRDefault="00D45EE2" w:rsidP="00D45EE2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350"/>
        <w:gridCol w:w="5220"/>
        <w:gridCol w:w="4320"/>
      </w:tblGrid>
      <w:tr w:rsidR="00D45EE2" w:rsidTr="005D3D74">
        <w:tc>
          <w:tcPr>
            <w:tcW w:w="1350" w:type="dxa"/>
          </w:tcPr>
          <w:p w:rsidR="00D45EE2" w:rsidRPr="00D45EE2" w:rsidRDefault="00D45EE2" w:rsidP="00D45EE2">
            <w:pPr>
              <w:pStyle w:val="NormalWeb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Time</w:t>
            </w:r>
          </w:p>
        </w:tc>
        <w:tc>
          <w:tcPr>
            <w:tcW w:w="5220" w:type="dxa"/>
          </w:tcPr>
          <w:p w:rsidR="00D45EE2" w:rsidRPr="00D45EE2" w:rsidRDefault="00D45EE2" w:rsidP="00D45EE2">
            <w:pPr>
              <w:pStyle w:val="NormalWeb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320" w:type="dxa"/>
          </w:tcPr>
          <w:p w:rsidR="00D45EE2" w:rsidRPr="00D45EE2" w:rsidRDefault="005F625C" w:rsidP="00D45EE2">
            <w:pPr>
              <w:pStyle w:val="NormalWeb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Participants/Leaders</w:t>
            </w:r>
          </w:p>
        </w:tc>
      </w:tr>
      <w:tr w:rsidR="00D45EE2" w:rsidTr="005D3D74">
        <w:tc>
          <w:tcPr>
            <w:tcW w:w="1350" w:type="dxa"/>
          </w:tcPr>
          <w:p w:rsidR="0074444D" w:rsidRDefault="00D45EE2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5EE2">
              <w:rPr>
                <w:rFonts w:ascii="Calibri" w:hAnsi="Calibri"/>
                <w:color w:val="000000"/>
                <w:sz w:val="20"/>
                <w:szCs w:val="20"/>
              </w:rPr>
              <w:t>1:00 pm – 1:10 pm</w:t>
            </w:r>
          </w:p>
          <w:p w:rsidR="00B43FF9" w:rsidRDefault="00B43FF9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45EE2" w:rsidRPr="00D45EE2" w:rsidRDefault="0074444D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(10 minutes)</w:t>
            </w:r>
            <w:r w:rsidR="00D45EE2" w:rsidRPr="00D45EE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D45EE2" w:rsidRDefault="00D45EE2" w:rsidP="00D45EE2">
            <w:pPr>
              <w:pStyle w:val="Norm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45EE2">
              <w:rPr>
                <w:rFonts w:ascii="Calibri" w:hAnsi="Calibri"/>
                <w:b/>
                <w:color w:val="000000"/>
                <w:sz w:val="20"/>
                <w:szCs w:val="20"/>
              </w:rPr>
              <w:t>Welcome/Overview of the Workshop</w:t>
            </w:r>
          </w:p>
          <w:p w:rsidR="00B43FF9" w:rsidRDefault="0074444D" w:rsidP="00B43FF9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Objective</w:t>
            </w:r>
            <w:r w:rsidR="001C6DA6">
              <w:rPr>
                <w:rFonts w:ascii="Calibri" w:hAnsi="Calibri"/>
                <w:color w:val="000000"/>
                <w:sz w:val="20"/>
                <w:szCs w:val="20"/>
              </w:rPr>
              <w:t xml:space="preserve"> and Overview</w:t>
            </w:r>
          </w:p>
          <w:p w:rsidR="0074444D" w:rsidRDefault="00B43FF9" w:rsidP="00B43FF9">
            <w:pPr>
              <w:pStyle w:val="NormalWeb"/>
              <w:numPr>
                <w:ilvl w:val="0"/>
                <w:numId w:val="6"/>
              </w:numPr>
              <w:ind w:left="336" w:hanging="33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="0074444D">
              <w:rPr>
                <w:rFonts w:ascii="Calibri" w:hAnsi="Calibri"/>
                <w:color w:val="000000"/>
                <w:sz w:val="20"/>
                <w:szCs w:val="20"/>
              </w:rPr>
              <w:t xml:space="preserve">cademics hear from audit partners about challenges faced in practice with </w:t>
            </w:r>
            <w:r w:rsidR="00A051EF">
              <w:rPr>
                <w:rFonts w:ascii="Calibri" w:hAnsi="Calibri"/>
                <w:color w:val="000000"/>
                <w:sz w:val="20"/>
                <w:szCs w:val="20"/>
              </w:rPr>
              <w:t xml:space="preserve">assessing the risk of material </w:t>
            </w:r>
            <w:r w:rsidR="006C5E8F">
              <w:rPr>
                <w:rFonts w:ascii="Calibri" w:hAnsi="Calibri"/>
                <w:color w:val="000000"/>
                <w:sz w:val="20"/>
                <w:szCs w:val="20"/>
              </w:rPr>
              <w:t>misstatement and designing further audit procedures</w:t>
            </w:r>
          </w:p>
          <w:p w:rsidR="0074444D" w:rsidRDefault="00B43FF9" w:rsidP="00B43FF9">
            <w:pPr>
              <w:pStyle w:val="NormalWeb"/>
              <w:numPr>
                <w:ilvl w:val="0"/>
                <w:numId w:val="6"/>
              </w:numPr>
              <w:ind w:left="336" w:hanging="33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Followed by breakout</w:t>
            </w:r>
            <w:r w:rsidR="00656645">
              <w:rPr>
                <w:rFonts w:ascii="Calibri" w:hAnsi="Calibri"/>
                <w:color w:val="000000"/>
                <w:sz w:val="20"/>
                <w:szCs w:val="20"/>
              </w:rPr>
              <w:t xml:space="preserve"> table discussions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that provide </w:t>
            </w:r>
            <w:r w:rsidR="006C5E8F">
              <w:rPr>
                <w:rFonts w:ascii="Calibri" w:hAnsi="Calibri"/>
                <w:color w:val="000000"/>
                <w:sz w:val="20"/>
                <w:szCs w:val="20"/>
              </w:rPr>
              <w:t xml:space="preserve">case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materials that can be used in th</w:t>
            </w:r>
            <w:r w:rsidR="00DC18A8">
              <w:rPr>
                <w:rFonts w:ascii="Calibri" w:hAnsi="Calibri"/>
                <w:color w:val="000000"/>
                <w:sz w:val="20"/>
                <w:szCs w:val="20"/>
              </w:rPr>
              <w:t>e classroom to teach students on these key areas</w:t>
            </w:r>
          </w:p>
          <w:p w:rsidR="00DC18A8" w:rsidRPr="00D45EE2" w:rsidRDefault="006C5E8F" w:rsidP="006C5E8F">
            <w:pPr>
              <w:pStyle w:val="NormalWeb"/>
              <w:numPr>
                <w:ilvl w:val="0"/>
                <w:numId w:val="6"/>
              </w:numPr>
              <w:ind w:left="336" w:hanging="33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Each</w:t>
            </w:r>
            <w:r w:rsidR="00656645">
              <w:rPr>
                <w:rFonts w:ascii="Calibri" w:hAnsi="Calibri"/>
                <w:color w:val="000000"/>
                <w:sz w:val="20"/>
                <w:szCs w:val="20"/>
              </w:rPr>
              <w:t xml:space="preserve"> table discussions will be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 hour and 30 minutes</w:t>
            </w:r>
            <w:r w:rsidR="00656645">
              <w:rPr>
                <w:rFonts w:ascii="Calibri" w:hAnsi="Calibri"/>
                <w:color w:val="000000"/>
                <w:sz w:val="20"/>
                <w:szCs w:val="20"/>
              </w:rPr>
              <w:t xml:space="preserve"> in length on a single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case.</w:t>
            </w:r>
          </w:p>
        </w:tc>
        <w:tc>
          <w:tcPr>
            <w:tcW w:w="4320" w:type="dxa"/>
          </w:tcPr>
          <w:p w:rsidR="00197798" w:rsidRDefault="008967D8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Rick Hatfield</w:t>
            </w:r>
            <w:r w:rsidR="00197798">
              <w:rPr>
                <w:rFonts w:ascii="Calibri" w:hAnsi="Calibri"/>
                <w:color w:val="000000"/>
                <w:sz w:val="20"/>
                <w:szCs w:val="20"/>
              </w:rPr>
              <w:t>, President, Auditing Section</w:t>
            </w:r>
            <w:r w:rsidR="00041694">
              <w:rPr>
                <w:rFonts w:ascii="Calibri" w:hAnsi="Calibri"/>
                <w:color w:val="000000"/>
                <w:sz w:val="20"/>
                <w:szCs w:val="20"/>
              </w:rPr>
              <w:t xml:space="preserve"> – University of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Alabama</w:t>
            </w:r>
          </w:p>
          <w:p w:rsidR="00D45EE2" w:rsidRPr="00D45EE2" w:rsidRDefault="00D45EE2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5EE2">
              <w:rPr>
                <w:rFonts w:ascii="Calibri" w:hAnsi="Calibri"/>
                <w:color w:val="000000"/>
                <w:sz w:val="20"/>
                <w:szCs w:val="20"/>
              </w:rPr>
              <w:t>Sandra Shelton</w:t>
            </w:r>
            <w:r w:rsidR="00197798">
              <w:rPr>
                <w:rFonts w:ascii="Calibri" w:hAnsi="Calibri"/>
                <w:color w:val="000000"/>
                <w:sz w:val="20"/>
                <w:szCs w:val="20"/>
              </w:rPr>
              <w:t>, Workshop Chair</w:t>
            </w:r>
            <w:r w:rsidR="00041694">
              <w:rPr>
                <w:rFonts w:ascii="Calibri" w:hAnsi="Calibri"/>
                <w:color w:val="000000"/>
                <w:sz w:val="20"/>
                <w:szCs w:val="20"/>
              </w:rPr>
              <w:t>, DePaul University</w:t>
            </w:r>
          </w:p>
          <w:p w:rsidR="00D45EE2" w:rsidRDefault="00D45EE2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5EE2">
              <w:rPr>
                <w:rFonts w:ascii="Calibri" w:hAnsi="Calibri"/>
                <w:color w:val="000000"/>
                <w:sz w:val="20"/>
                <w:szCs w:val="20"/>
              </w:rPr>
              <w:t>Helen Liburd-Brown</w:t>
            </w:r>
            <w:r w:rsidR="00197798">
              <w:rPr>
                <w:rFonts w:ascii="Calibri" w:hAnsi="Calibri"/>
                <w:color w:val="000000"/>
                <w:sz w:val="20"/>
                <w:szCs w:val="20"/>
              </w:rPr>
              <w:t>, Workshop Vice-Chair</w:t>
            </w:r>
            <w:r w:rsidR="00041694">
              <w:rPr>
                <w:rFonts w:ascii="Calibri" w:hAnsi="Calibri"/>
                <w:color w:val="000000"/>
                <w:sz w:val="20"/>
                <w:szCs w:val="20"/>
              </w:rPr>
              <w:t xml:space="preserve"> – Rutgers University</w:t>
            </w:r>
          </w:p>
          <w:p w:rsidR="003F37A0" w:rsidRPr="00D45EE2" w:rsidRDefault="003F37A0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5EE2" w:rsidTr="005D3D74">
        <w:tc>
          <w:tcPr>
            <w:tcW w:w="1350" w:type="dxa"/>
          </w:tcPr>
          <w:p w:rsidR="00D45EE2" w:rsidRDefault="004B4C7A" w:rsidP="00197798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1:10 pm </w:t>
            </w:r>
            <w:r w:rsidR="00197798">
              <w:rPr>
                <w:rFonts w:ascii="Calibri" w:hAnsi="Calibri"/>
                <w:color w:val="000000"/>
                <w:sz w:val="20"/>
                <w:szCs w:val="20"/>
              </w:rPr>
              <w:t>– 2:</w:t>
            </w:r>
            <w:r w:rsidR="009A6532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 w:rsidR="00B43FF9">
              <w:rPr>
                <w:rFonts w:ascii="Calibri" w:hAnsi="Calibri"/>
                <w:color w:val="000000"/>
                <w:sz w:val="20"/>
                <w:szCs w:val="20"/>
              </w:rPr>
              <w:t xml:space="preserve"> pm</w:t>
            </w:r>
          </w:p>
          <w:p w:rsidR="007338F5" w:rsidRDefault="007338F5" w:rsidP="00197798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338F5" w:rsidRPr="00D45EE2" w:rsidRDefault="00974C5F" w:rsidP="009A653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9A6532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  <w:r w:rsidR="007338F5">
              <w:rPr>
                <w:rFonts w:ascii="Calibri" w:hAnsi="Calibri"/>
                <w:color w:val="000000"/>
                <w:sz w:val="20"/>
                <w:szCs w:val="20"/>
              </w:rPr>
              <w:t xml:space="preserve"> minutes)</w:t>
            </w:r>
          </w:p>
        </w:tc>
        <w:tc>
          <w:tcPr>
            <w:tcW w:w="5220" w:type="dxa"/>
          </w:tcPr>
          <w:p w:rsidR="00D45EE2" w:rsidRDefault="008967D8" w:rsidP="00D45EE2">
            <w:pPr>
              <w:pStyle w:val="Norm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Challenges in Audit Risk Assessment</w:t>
            </w:r>
          </w:p>
          <w:p w:rsidR="00DC18A8" w:rsidRPr="00DC18A8" w:rsidRDefault="00DC18A8" w:rsidP="00DC18A8">
            <w:pPr>
              <w:pStyle w:val="Norm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This panel will have an interactive discussion on the following topic areas:</w:t>
            </w:r>
          </w:p>
          <w:p w:rsidR="008967D8" w:rsidRPr="008967D8" w:rsidRDefault="008967D8" w:rsidP="008967D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8967D8">
              <w:rPr>
                <w:rFonts w:asciiTheme="minorHAnsi" w:hAnsiTheme="minorHAnsi"/>
                <w:i/>
                <w:iCs/>
                <w:sz w:val="20"/>
                <w:szCs w:val="20"/>
              </w:rPr>
              <w:t>fraud risks associated with revenue recognition and its impact on the testing of the revenue and accounts receivable cycle.</w:t>
            </w:r>
          </w:p>
          <w:p w:rsidR="008967D8" w:rsidRPr="008967D8" w:rsidRDefault="008967D8" w:rsidP="008967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967D8">
              <w:rPr>
                <w:i/>
                <w:iCs/>
                <w:sz w:val="20"/>
                <w:szCs w:val="20"/>
              </w:rPr>
              <w:t>critical thinking skills around the identification of exceptions and risk factors in client provided data.</w:t>
            </w:r>
          </w:p>
          <w:p w:rsidR="008967D8" w:rsidRPr="008967D8" w:rsidRDefault="008967D8" w:rsidP="008967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967D8">
              <w:rPr>
                <w:i/>
                <w:iCs/>
                <w:sz w:val="20"/>
                <w:szCs w:val="20"/>
              </w:rPr>
              <w:t>recognizing the importance of reaching an overall conclusion for each relevant assertion based on the evidential matter considered</w:t>
            </w:r>
          </w:p>
          <w:p w:rsidR="008967D8" w:rsidRPr="008967D8" w:rsidRDefault="008967D8" w:rsidP="008967D8">
            <w:pPr>
              <w:pStyle w:val="ListParagraph"/>
              <w:numPr>
                <w:ilvl w:val="0"/>
                <w:numId w:val="12"/>
              </w:numPr>
            </w:pPr>
            <w:r w:rsidRPr="008967D8">
              <w:rPr>
                <w:sz w:val="20"/>
                <w:szCs w:val="20"/>
              </w:rPr>
              <w:t>assessing risk of material misstatement, capturing inherent risk and control risk, associated with the valuation assertion for intangibles (goodwill) and fair value measurements</w:t>
            </w:r>
            <w:r w:rsidRPr="008967D8">
              <w:t>.</w:t>
            </w:r>
          </w:p>
          <w:p w:rsidR="00DC18A8" w:rsidRPr="00D45EE2" w:rsidRDefault="00DC18A8" w:rsidP="008967D8">
            <w:pPr>
              <w:pStyle w:val="NormalWeb"/>
              <w:ind w:left="336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D45EE2" w:rsidRDefault="00041694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Discussion Leader</w:t>
            </w:r>
            <w:r w:rsidR="00197798" w:rsidRPr="00197798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 w:rsidR="0019779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967D8">
              <w:rPr>
                <w:rFonts w:ascii="Calibri" w:hAnsi="Calibri"/>
                <w:color w:val="000000"/>
                <w:sz w:val="20"/>
                <w:szCs w:val="20"/>
              </w:rPr>
              <w:t>Dan Sunderland</w:t>
            </w:r>
            <w:r w:rsidR="00963111">
              <w:rPr>
                <w:rFonts w:ascii="Calibri" w:hAnsi="Calibri"/>
                <w:color w:val="000000"/>
                <w:sz w:val="20"/>
                <w:szCs w:val="20"/>
              </w:rPr>
              <w:t xml:space="preserve">, Deloitte </w:t>
            </w:r>
          </w:p>
          <w:p w:rsidR="00D45EE2" w:rsidRDefault="00D45EE2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Chris Dinkel, PwC</w:t>
            </w:r>
          </w:p>
          <w:p w:rsidR="00D45EE2" w:rsidRDefault="008967D8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John DeMelis</w:t>
            </w:r>
            <w:r w:rsidR="00D45EE2">
              <w:rPr>
                <w:rFonts w:ascii="Calibri" w:hAnsi="Calibri"/>
                <w:color w:val="000000"/>
                <w:sz w:val="20"/>
                <w:szCs w:val="20"/>
              </w:rPr>
              <w:t>, EY</w:t>
            </w:r>
          </w:p>
          <w:p w:rsidR="00D8655E" w:rsidRDefault="008967D8" w:rsidP="008967D8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Mike Yates, Crowe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Horwath</w:t>
            </w:r>
            <w:proofErr w:type="spellEnd"/>
          </w:p>
          <w:p w:rsidR="00E20DFC" w:rsidRPr="00D45EE2" w:rsidRDefault="00E20DFC" w:rsidP="008967D8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Elizabeth Miller, KPMG</w:t>
            </w:r>
          </w:p>
        </w:tc>
      </w:tr>
      <w:tr w:rsidR="00D45EE2" w:rsidTr="005D3D74">
        <w:tc>
          <w:tcPr>
            <w:tcW w:w="1350" w:type="dxa"/>
          </w:tcPr>
          <w:p w:rsidR="00D45EE2" w:rsidRDefault="00974C5F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2:</w:t>
            </w:r>
            <w:r w:rsidR="009A6532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pm – 2:</w:t>
            </w:r>
            <w:r w:rsidR="009A6532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  <w:r w:rsidR="00D8655E">
              <w:rPr>
                <w:rFonts w:ascii="Calibri" w:hAnsi="Calibri"/>
                <w:color w:val="000000"/>
                <w:sz w:val="20"/>
                <w:szCs w:val="20"/>
              </w:rPr>
              <w:t xml:space="preserve"> pm</w:t>
            </w:r>
          </w:p>
          <w:p w:rsidR="007338F5" w:rsidRDefault="007338F5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338F5" w:rsidRPr="00D45EE2" w:rsidRDefault="00974C5F" w:rsidP="009A653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9A653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7338F5">
              <w:rPr>
                <w:rFonts w:ascii="Calibri" w:hAnsi="Calibri"/>
                <w:color w:val="000000"/>
                <w:sz w:val="20"/>
                <w:szCs w:val="20"/>
              </w:rPr>
              <w:t xml:space="preserve"> minutes)</w:t>
            </w:r>
          </w:p>
        </w:tc>
        <w:tc>
          <w:tcPr>
            <w:tcW w:w="5220" w:type="dxa"/>
          </w:tcPr>
          <w:p w:rsidR="00CC455A" w:rsidRPr="00D8655E" w:rsidRDefault="009A6532" w:rsidP="009A6532">
            <w:pPr>
              <w:pStyle w:val="NormalWeb"/>
              <w:ind w:left="336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320" w:type="dxa"/>
          </w:tcPr>
          <w:p w:rsidR="003B6296" w:rsidRPr="00D45EE2" w:rsidRDefault="003B6296" w:rsidP="00FD5DF6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5EE2" w:rsidTr="005D3D74">
        <w:tc>
          <w:tcPr>
            <w:tcW w:w="1350" w:type="dxa"/>
          </w:tcPr>
          <w:p w:rsidR="00D45EE2" w:rsidRDefault="00974C5F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2:</w:t>
            </w:r>
            <w:r w:rsidR="009A6532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  <w:r w:rsidR="00603FC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D3D74">
              <w:rPr>
                <w:rFonts w:ascii="Calibri" w:hAnsi="Calibri"/>
                <w:color w:val="000000"/>
                <w:sz w:val="20"/>
                <w:szCs w:val="20"/>
              </w:rPr>
              <w:t xml:space="preserve">pm </w:t>
            </w:r>
            <w:r w:rsidR="00332E35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="009A6532">
              <w:rPr>
                <w:rFonts w:ascii="Calibri" w:hAnsi="Calibri"/>
                <w:color w:val="000000"/>
                <w:sz w:val="20"/>
                <w:szCs w:val="20"/>
              </w:rPr>
              <w:t>2:40</w:t>
            </w:r>
            <w:r w:rsidR="006E527F">
              <w:rPr>
                <w:rFonts w:ascii="Calibri" w:hAnsi="Calibri"/>
                <w:color w:val="000000"/>
                <w:sz w:val="20"/>
                <w:szCs w:val="20"/>
              </w:rPr>
              <w:t xml:space="preserve"> pm</w:t>
            </w:r>
          </w:p>
          <w:p w:rsidR="007338F5" w:rsidRDefault="007338F5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5070E" w:rsidRDefault="007338F5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9A653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minutes)</w:t>
            </w:r>
          </w:p>
          <w:p w:rsidR="00045D8C" w:rsidRDefault="00045D8C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94271" w:rsidRDefault="00094271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338F5" w:rsidRPr="00D45EE2" w:rsidRDefault="007338F5" w:rsidP="00015797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9A6532" w:rsidRDefault="009A6532" w:rsidP="009A6532">
            <w:pPr>
              <w:pStyle w:val="Norm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Overview of Case Materials on Audit Risk Assessment Topics:</w:t>
            </w:r>
          </w:p>
          <w:p w:rsidR="009A6532" w:rsidRDefault="009A6532" w:rsidP="009A6532">
            <w:pPr>
              <w:pStyle w:val="NormalWeb"/>
              <w:numPr>
                <w:ilvl w:val="0"/>
                <w:numId w:val="4"/>
              </w:numPr>
              <w:ind w:left="336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Urgent Medical Device, Inc.: A Teaching Case Designed to Integrate Data and Analytics in the Financial Auditing Classroom </w:t>
            </w:r>
          </w:p>
          <w:p w:rsidR="009A6532" w:rsidRDefault="009A6532" w:rsidP="009A6532">
            <w:pPr>
              <w:pStyle w:val="NormalWeb"/>
              <w:numPr>
                <w:ilvl w:val="0"/>
                <w:numId w:val="4"/>
              </w:numPr>
              <w:ind w:left="336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Goodwill-Impairment Testing-Risk Assessment Considerations</w:t>
            </w:r>
          </w:p>
          <w:p w:rsidR="006E527F" w:rsidRPr="006E527F" w:rsidRDefault="006E527F" w:rsidP="00D45EE2">
            <w:pPr>
              <w:pStyle w:val="Norm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D45EE2" w:rsidRDefault="00FD5DF6" w:rsidP="00974C5F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9A6532" w:rsidRPr="00D45EE2" w:rsidRDefault="009A6532" w:rsidP="00974C5F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Sandra Shelton, Workshop Chair</w:t>
            </w:r>
          </w:p>
        </w:tc>
      </w:tr>
      <w:tr w:rsidR="003B6296" w:rsidTr="005D3D74">
        <w:trPr>
          <w:trHeight w:val="432"/>
        </w:trPr>
        <w:tc>
          <w:tcPr>
            <w:tcW w:w="1350" w:type="dxa"/>
          </w:tcPr>
          <w:p w:rsidR="003B6296" w:rsidRDefault="009A6532" w:rsidP="0027199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2:40 </w:t>
            </w:r>
            <w:r w:rsidR="006E527F">
              <w:rPr>
                <w:rFonts w:ascii="Calibri" w:hAnsi="Calibri"/>
                <w:color w:val="000000"/>
                <w:sz w:val="20"/>
                <w:szCs w:val="20"/>
              </w:rPr>
              <w:t xml:space="preserve">pm </w:t>
            </w:r>
            <w:r w:rsidR="00332E35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2719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4:10 </w:t>
            </w:r>
            <w:r w:rsidR="006E527F">
              <w:rPr>
                <w:rFonts w:ascii="Calibri" w:hAnsi="Calibri"/>
                <w:color w:val="000000"/>
                <w:sz w:val="20"/>
                <w:szCs w:val="20"/>
              </w:rPr>
              <w:t xml:space="preserve">pm </w:t>
            </w:r>
          </w:p>
          <w:p w:rsidR="007338F5" w:rsidRDefault="009A6532" w:rsidP="0027199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(90</w:t>
            </w:r>
            <w:r w:rsidR="007338F5">
              <w:rPr>
                <w:rFonts w:ascii="Calibri" w:hAnsi="Calibri"/>
                <w:color w:val="000000"/>
                <w:sz w:val="20"/>
                <w:szCs w:val="20"/>
              </w:rPr>
              <w:t xml:space="preserve"> minutes)</w:t>
            </w:r>
          </w:p>
          <w:p w:rsidR="007A513F" w:rsidRPr="00D45EE2" w:rsidRDefault="007A513F" w:rsidP="0027199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9A6532" w:rsidRDefault="009A6532" w:rsidP="009A6532">
            <w:pPr>
              <w:pStyle w:val="Norm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Urgent Medical Device Case Presentation and</w:t>
            </w:r>
            <w:r w:rsidRPr="006E527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Discussion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s: Material that can be used in the classroom to help auditing students </w:t>
            </w:r>
            <w:proofErr w:type="gram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understand</w:t>
            </w:r>
            <w:proofErr w:type="gram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how data and analytics can be used to assess audit risk.</w:t>
            </w:r>
          </w:p>
          <w:p w:rsidR="008D1A6E" w:rsidRDefault="008D1A6E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B6296" w:rsidRPr="00D45EE2" w:rsidRDefault="003B6296" w:rsidP="00D45EE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9A6532" w:rsidRDefault="009A6532" w:rsidP="009A653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Jay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Thibodeau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Bentley University</w:t>
            </w:r>
          </w:p>
          <w:p w:rsidR="003B6296" w:rsidRPr="00D45EE2" w:rsidRDefault="009A6532" w:rsidP="009A6532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Allen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Blay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Florida State University</w:t>
            </w:r>
          </w:p>
        </w:tc>
      </w:tr>
      <w:tr w:rsidR="00D36EC8" w:rsidTr="00E3641D">
        <w:trPr>
          <w:cantSplit/>
        </w:trPr>
        <w:tc>
          <w:tcPr>
            <w:tcW w:w="1350" w:type="dxa"/>
          </w:tcPr>
          <w:p w:rsidR="00D36EC8" w:rsidRDefault="00603FC4" w:rsidP="00603FC4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4:10 </w:t>
            </w:r>
            <w:r w:rsidR="00D36EC8">
              <w:rPr>
                <w:rFonts w:ascii="Calibri" w:hAnsi="Calibri"/>
                <w:color w:val="000000"/>
                <w:sz w:val="20"/>
                <w:szCs w:val="20"/>
              </w:rPr>
              <w:t xml:space="preserve">pm – </w:t>
            </w:r>
            <w:r w:rsidR="00C72D97">
              <w:rPr>
                <w:rFonts w:ascii="Calibri" w:hAnsi="Calibri"/>
                <w:color w:val="000000"/>
                <w:sz w:val="20"/>
                <w:szCs w:val="20"/>
              </w:rPr>
              <w:t>5: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  <w:r w:rsidR="00D36EC8">
              <w:rPr>
                <w:rFonts w:ascii="Calibri" w:hAnsi="Calibri"/>
                <w:color w:val="000000"/>
                <w:sz w:val="20"/>
                <w:szCs w:val="20"/>
              </w:rPr>
              <w:t xml:space="preserve"> pm</w:t>
            </w:r>
          </w:p>
          <w:p w:rsidR="00603FC4" w:rsidRDefault="00603FC4" w:rsidP="00603FC4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03FC4" w:rsidRDefault="00603FC4" w:rsidP="00603FC4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(90 minutes)</w:t>
            </w:r>
            <w:bookmarkStart w:id="0" w:name="_GoBack"/>
            <w:bookmarkEnd w:id="0"/>
          </w:p>
        </w:tc>
        <w:tc>
          <w:tcPr>
            <w:tcW w:w="5220" w:type="dxa"/>
          </w:tcPr>
          <w:p w:rsidR="00C72D97" w:rsidRDefault="00C72D97" w:rsidP="00C72D97">
            <w:pPr>
              <w:pStyle w:val="Norm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Goodwill-Impairment Testing-Risk Assessment Considerations </w:t>
            </w:r>
            <w:r w:rsidR="0096311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Trueblood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Case Presentation and Discussions:</w:t>
            </w:r>
          </w:p>
          <w:p w:rsidR="00C72D97" w:rsidRPr="00C72D97" w:rsidRDefault="00C72D97" w:rsidP="00C72D97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Material that can be used in the classroom to </w:t>
            </w:r>
            <w:r w:rsidRPr="00C72D97">
              <w:rPr>
                <w:rFonts w:asciiTheme="minorHAnsi" w:hAnsiTheme="minorHAnsi"/>
                <w:b/>
                <w:sz w:val="20"/>
                <w:szCs w:val="20"/>
              </w:rPr>
              <w:t>assess risk of material misstatement, capturing inherent risk and control risk, associated with the valuation assertion for intangibles (goodwill) and fair value measurements</w:t>
            </w:r>
            <w:r w:rsidR="0096311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D36EC8" w:rsidRDefault="00D36EC8" w:rsidP="00D36EC8">
            <w:pPr>
              <w:pStyle w:val="NormalWeb"/>
              <w:ind w:left="-15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D36EC8" w:rsidRDefault="00963111" w:rsidP="00963111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Todd Lindsey, Deloitte</w:t>
            </w:r>
          </w:p>
        </w:tc>
      </w:tr>
      <w:tr w:rsidR="0095070E" w:rsidTr="005D3D74">
        <w:tc>
          <w:tcPr>
            <w:tcW w:w="1350" w:type="dxa"/>
          </w:tcPr>
          <w:p w:rsidR="0095070E" w:rsidRDefault="0095070E" w:rsidP="00C72D97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5:</w:t>
            </w:r>
            <w:r w:rsidR="00C72D97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pm – 5:</w:t>
            </w:r>
            <w:r w:rsidR="00C72D97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</w:tcPr>
          <w:p w:rsidR="0095070E" w:rsidRPr="0095070E" w:rsidRDefault="0095070E" w:rsidP="006E527F">
            <w:pPr>
              <w:pStyle w:val="Norm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Wrap-up/Next Steps</w:t>
            </w:r>
          </w:p>
        </w:tc>
        <w:tc>
          <w:tcPr>
            <w:tcW w:w="4320" w:type="dxa"/>
          </w:tcPr>
          <w:p w:rsidR="0095070E" w:rsidRPr="00D45EE2" w:rsidRDefault="0095070E" w:rsidP="0095070E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5EE2">
              <w:rPr>
                <w:rFonts w:ascii="Calibri" w:hAnsi="Calibri"/>
                <w:color w:val="000000"/>
                <w:sz w:val="20"/>
                <w:szCs w:val="20"/>
              </w:rPr>
              <w:t>Sandra Shelton</w:t>
            </w:r>
          </w:p>
          <w:p w:rsidR="0095070E" w:rsidRPr="00D45EE2" w:rsidRDefault="0095070E" w:rsidP="0095070E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5EE2">
              <w:rPr>
                <w:rFonts w:ascii="Calibri" w:hAnsi="Calibri"/>
                <w:color w:val="000000"/>
                <w:sz w:val="20"/>
                <w:szCs w:val="20"/>
              </w:rPr>
              <w:t>Helen Liburd-Brown</w:t>
            </w:r>
          </w:p>
        </w:tc>
      </w:tr>
    </w:tbl>
    <w:p w:rsidR="0003257F" w:rsidRPr="0003257F" w:rsidRDefault="0003257F" w:rsidP="00F67DC7">
      <w:pPr>
        <w:rPr>
          <w:b/>
        </w:rPr>
      </w:pPr>
    </w:p>
    <w:sectPr w:rsidR="0003257F" w:rsidRPr="0003257F" w:rsidSect="00041694">
      <w:pgSz w:w="12240" w:h="15840" w:code="1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A65"/>
    <w:multiLevelType w:val="hybridMultilevel"/>
    <w:tmpl w:val="09926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8948B5"/>
    <w:multiLevelType w:val="hybridMultilevel"/>
    <w:tmpl w:val="07F00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6935C4"/>
    <w:multiLevelType w:val="hybridMultilevel"/>
    <w:tmpl w:val="EA08E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B437C"/>
    <w:multiLevelType w:val="hybridMultilevel"/>
    <w:tmpl w:val="4FAC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0344C"/>
    <w:multiLevelType w:val="hybridMultilevel"/>
    <w:tmpl w:val="0C24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82437"/>
    <w:multiLevelType w:val="hybridMultilevel"/>
    <w:tmpl w:val="1F986E40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388A4BB4"/>
    <w:multiLevelType w:val="hybridMultilevel"/>
    <w:tmpl w:val="B22E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E2419"/>
    <w:multiLevelType w:val="hybridMultilevel"/>
    <w:tmpl w:val="D190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63F44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  <w:color w:val="1F497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87026"/>
    <w:multiLevelType w:val="hybridMultilevel"/>
    <w:tmpl w:val="85A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A6D6B"/>
    <w:multiLevelType w:val="hybridMultilevel"/>
    <w:tmpl w:val="559483DA"/>
    <w:lvl w:ilvl="0" w:tplc="A18E552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E651B8">
      <w:numFmt w:val="bullet"/>
      <w:lvlText w:val="·"/>
      <w:lvlJc w:val="left"/>
      <w:pPr>
        <w:ind w:left="3120" w:hanging="1140"/>
      </w:pPr>
      <w:rPr>
        <w:rFonts w:ascii="Calibri" w:eastAsiaTheme="minorHAns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F1514"/>
    <w:multiLevelType w:val="hybridMultilevel"/>
    <w:tmpl w:val="B22E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F5863"/>
    <w:multiLevelType w:val="hybridMultilevel"/>
    <w:tmpl w:val="F1E4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3F"/>
    <w:rsid w:val="00015797"/>
    <w:rsid w:val="0003257F"/>
    <w:rsid w:val="000412B6"/>
    <w:rsid w:val="00041694"/>
    <w:rsid w:val="00045D8C"/>
    <w:rsid w:val="000556C0"/>
    <w:rsid w:val="00094271"/>
    <w:rsid w:val="000D4305"/>
    <w:rsid w:val="00122187"/>
    <w:rsid w:val="00154451"/>
    <w:rsid w:val="00197798"/>
    <w:rsid w:val="001C6DA6"/>
    <w:rsid w:val="002076ED"/>
    <w:rsid w:val="002240DE"/>
    <w:rsid w:val="00271992"/>
    <w:rsid w:val="0030645D"/>
    <w:rsid w:val="00332E35"/>
    <w:rsid w:val="003B6296"/>
    <w:rsid w:val="003F37A0"/>
    <w:rsid w:val="004A6CFF"/>
    <w:rsid w:val="004B4C7A"/>
    <w:rsid w:val="005D3D74"/>
    <w:rsid w:val="005F625C"/>
    <w:rsid w:val="00603FC4"/>
    <w:rsid w:val="00656645"/>
    <w:rsid w:val="0068504D"/>
    <w:rsid w:val="006C5E8F"/>
    <w:rsid w:val="006E527F"/>
    <w:rsid w:val="007338F5"/>
    <w:rsid w:val="0074444D"/>
    <w:rsid w:val="007A513F"/>
    <w:rsid w:val="007D7380"/>
    <w:rsid w:val="008217FA"/>
    <w:rsid w:val="00886CD9"/>
    <w:rsid w:val="008967D8"/>
    <w:rsid w:val="008A52AE"/>
    <w:rsid w:val="008C441F"/>
    <w:rsid w:val="008D1A6E"/>
    <w:rsid w:val="0094213F"/>
    <w:rsid w:val="0095070E"/>
    <w:rsid w:val="00963111"/>
    <w:rsid w:val="00974C5F"/>
    <w:rsid w:val="009848F8"/>
    <w:rsid w:val="00995887"/>
    <w:rsid w:val="009A6532"/>
    <w:rsid w:val="009F6969"/>
    <w:rsid w:val="00A051EF"/>
    <w:rsid w:val="00A26870"/>
    <w:rsid w:val="00B414BF"/>
    <w:rsid w:val="00B43FF9"/>
    <w:rsid w:val="00B539CB"/>
    <w:rsid w:val="00BB533F"/>
    <w:rsid w:val="00C613A0"/>
    <w:rsid w:val="00C72D97"/>
    <w:rsid w:val="00CC455A"/>
    <w:rsid w:val="00CC6414"/>
    <w:rsid w:val="00D36EC8"/>
    <w:rsid w:val="00D45EE2"/>
    <w:rsid w:val="00D66A87"/>
    <w:rsid w:val="00D8655E"/>
    <w:rsid w:val="00DC18A8"/>
    <w:rsid w:val="00E11223"/>
    <w:rsid w:val="00E20DFC"/>
    <w:rsid w:val="00E3641D"/>
    <w:rsid w:val="00E800E8"/>
    <w:rsid w:val="00EA564C"/>
    <w:rsid w:val="00EE1C00"/>
    <w:rsid w:val="00F0412B"/>
    <w:rsid w:val="00F061F0"/>
    <w:rsid w:val="00F44E43"/>
    <w:rsid w:val="00F67DC7"/>
    <w:rsid w:val="00F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1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213F"/>
    <w:rPr>
      <w:i/>
      <w:iCs/>
    </w:rPr>
  </w:style>
  <w:style w:type="character" w:styleId="Strong">
    <w:name w:val="Strong"/>
    <w:basedOn w:val="DefaultParagraphFont"/>
    <w:uiPriority w:val="22"/>
    <w:qFormat/>
    <w:rsid w:val="0094213F"/>
    <w:rPr>
      <w:b/>
      <w:bCs/>
    </w:rPr>
  </w:style>
  <w:style w:type="table" w:styleId="TableGrid">
    <w:name w:val="Table Grid"/>
    <w:basedOn w:val="TableNormal"/>
    <w:uiPriority w:val="39"/>
    <w:rsid w:val="00D4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5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5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1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67D8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1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213F"/>
    <w:rPr>
      <w:i/>
      <w:iCs/>
    </w:rPr>
  </w:style>
  <w:style w:type="character" w:styleId="Strong">
    <w:name w:val="Strong"/>
    <w:basedOn w:val="DefaultParagraphFont"/>
    <w:uiPriority w:val="22"/>
    <w:qFormat/>
    <w:rsid w:val="0094213F"/>
    <w:rPr>
      <w:b/>
      <w:bCs/>
    </w:rPr>
  </w:style>
  <w:style w:type="table" w:styleId="TableGrid">
    <w:name w:val="Table Grid"/>
    <w:basedOn w:val="TableNormal"/>
    <w:uiPriority w:val="39"/>
    <w:rsid w:val="00D4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5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5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1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67D8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Cella</dc:creator>
  <cp:lastModifiedBy>DePaul University</cp:lastModifiedBy>
  <cp:revision>2</cp:revision>
  <cp:lastPrinted>2017-01-02T20:08:00Z</cp:lastPrinted>
  <dcterms:created xsi:type="dcterms:W3CDTF">2017-12-21T00:27:00Z</dcterms:created>
  <dcterms:modified xsi:type="dcterms:W3CDTF">2017-12-21T00:27:00Z</dcterms:modified>
</cp:coreProperties>
</file>